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EA" w:rsidRPr="009B17EA" w:rsidRDefault="00694FEF" w:rsidP="009B17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</w:pPr>
      <w:r w:rsidRPr="0069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ПОЛОЖЕНИЕ</w:t>
      </w:r>
      <w:r w:rsidRPr="009B1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 </w:t>
      </w:r>
      <w:r w:rsidRPr="0069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br/>
        <w:t>о Международной литературной премии им. И.Ф. Анненского</w:t>
      </w:r>
    </w:p>
    <w:p w:rsidR="009B17EA" w:rsidRDefault="009B17EA" w:rsidP="009B1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694FEF" w:rsidRPr="00694FEF" w:rsidRDefault="00694FEF" w:rsidP="009B17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Раздел I. Общие положения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1.1. В 2019 году, к 110-летию со дня смерти И.Ф. Анненского, литературно-художественный журнал «Менестрель» учреждает Международную литературную премию им. И.Ф. Анненского (далее – Премия).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1.2. Цели Премии: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– открытие новых имён в литературе и продвижение их произведений к читателю;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– консолидация литераторов, создание условий для их общения;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– обучение литературному мастерству молодых литераторов;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– поддержка авторов наиболее значимых произведений, публикации отдельных произведений в журнале «Менестрель»;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– пропаганда российской литературы и повышение её роли в развитии личности и общества.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1.3. Подготовка и проведение Премии осуществляется редколлегией журнала «Менестрель» вместе с литературными изданиями «Тарские ворота», «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Иртыш-Омь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», «Чаша» и др.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Раздел II. Сроки проведения Премии и условия участия в ней</w:t>
      </w:r>
      <w:r w:rsidRPr="009B1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 </w:t>
      </w:r>
      <w:r w:rsidRPr="0069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2.1. В конкурсе могут принимать участие авторы с неопубликованными поэтическими и прозаическими работами, написанными на русском языке.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2.2. К участию в конкурсе на соискание Премии принимаются рукописи неизданных прозаических и поэтических книг. Фрагменты представленных на соискание Премии произведений (не более 50 % от общего объёма текста) могут быть опубликованы ранее в периодических изданиях. Произведения, опубликованные ранее в формате электронной книги, к соучастию в конкурсе на соискание Премии не допускаются.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2.3. Географических и возрастных ограничений для участия в конкурсе на соискание Премии нет.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2.4. Авторы, награждавшиеся Премией ранее, к повторному участию в конкурсе на соискание Премии не допускаются. Авторы, ранее входившие в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лон</w:t>
      </w:r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шорт-листы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Премии, участвуют на равных основаниях с прочими конкурсантами.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2.5. Работы принимаются с 1 февраля по 15 июля 2019 года. </w:t>
      </w:r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Произведение (или произведения) может быть представлено на конкурс самим автором или, с его согласия, – писателями, литературными критиками, редакторами литературных журналов, издательств, газет, литературными агентами, творческими организациями, библиотеками, вузами.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2.6.</w:t>
      </w:r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Произведение (книга, поэтический сборник или подборка стихотворений) представляется в электронном виде. В имени файла должны быть указаны фамилия автора и название произведения. Объём поэтического произведения – до 100 стихотворений. Объём прозаических произведений не ограничивается.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2.7. К представленной на конкурс работе прилагается анкета (по утверждённой форме, </w:t>
      </w:r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см</w:t>
      </w:r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Приложение 1) с ФИО участника, его почтовым и электронным адресом, контактными телефонами и краткой творческой биографией.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2.8. Произведение, анкета и другие возможные материалы направляются в редакцию альманаха «Менестрель» по электронной почте: </w:t>
      </w:r>
      <w:hyperlink r:id="rId4" w:history="1">
        <w:r w:rsidRPr="00694FEF">
          <w:rPr>
            <w:rFonts w:ascii="Times New Roman" w:eastAsia="Times New Roman" w:hAnsi="Times New Roman" w:cs="Times New Roman"/>
            <w:color w:val="2A5885"/>
            <w:sz w:val="24"/>
            <w:szCs w:val="24"/>
            <w:lang w:val="ru-RU" w:eastAsia="ru-RU" w:bidi="ar-SA"/>
          </w:rPr>
          <w:t>kozyrevboss@list.ru</w:t>
        </w:r>
      </w:hyperlink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Раздел III. Состав жюри Литературной премии им. И.Ф. Анненского</w:t>
      </w:r>
      <w:r w:rsidRPr="009B1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А.Д. Алёхин – поэт, критик, эссеист, основатель и главный редактор журнала поэзии 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«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Арион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». Автор десяти книг стихов и поэтической прозы. Стихи и эссе А.Д. Алёхина переведены более чем на пятнадцать языков. Член Союза журналистов, Союза российских писателей, СП Москвы, Русского </w:t>
      </w:r>
      <w:proofErr w:type="spellStart"/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ПЕН-центра</w:t>
      </w:r>
      <w:proofErr w:type="spellEnd"/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О.А. Николаева – поэтесса, прозаик, эссеист. Профессор Литературного института им. Горького, член Союза писателей СССР с 1988 года. Лауреат премии «Поэт» (2006), Патриаршей литературной премии (2012) и премии Правительства РФ в области культуры (2014).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С.А. Минаков – русский поэт, прозаик и эссеист, переводчик, публицист, журналист. Родился в Харькове в 1959 году. Один из организаторов и участник Международного фестиваля современной поэзии памяти Бориса Чичибабина. Автор поэтических и публицистических книг, энциклопедий и альбомов. Член Русского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ПЕНа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(Московский центр) и Союза писателей России. Лауреат Международной премии Арсения и Андрея Тарковских (2008), Всероссийской премии имени братьев И. В. и П. В. Киреевских (2009), имени Б. Слуцкого (1998), «Народное признание» (2005) и других литературных и журналистских премий России и Украины. Эксперт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Волошинской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премии. Член редколлегии нескольких литературно-художественных журналов.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О.В. Дозморов – поэт, литературный критик. Автор четырёх сборников стихов: </w:t>
      </w:r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«Пробел» (1999), «Стихи» (2001,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предисл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Б. Рыжего), «Восьмистишия» (2004), «Смотреть на бегемота» (2012,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предисл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В.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Гандельсмана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).</w:t>
      </w:r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Публиковал стихи и эссе в журналах «Урал», «Звезда», «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Арион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», «Воздух», «Волга», «Знамя», «Новая юность», «Стороны света», «Уральская новь», «Новый мир», альманахах «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Urbi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», «Алконост» и др. Стихи переведены на английский, голландский, итальянский и украинский языки.</w:t>
      </w:r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Лауреат премии журнала «Урал» за 2011 год. Лауреат «Русской премии» за 2012 год (за книгу «Смотреть на бегемота»).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Спецприз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премии «Московский счёт» за 2012 год (за книгу «Смотреть на бегемота»).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Е.А. Попов – прозаик, эссеист, издатель. Секретарь Союза писателей Москвы, один из основателей и вице-президент Русского </w:t>
      </w:r>
      <w:proofErr w:type="spellStart"/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ПЕН-центра</w:t>
      </w:r>
      <w:proofErr w:type="spellEnd"/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, ассоциированный член Шведского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ПЕН-центра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Отмечен премиями журналов «Волга» (1989), «Стрелец» (1995), «Знамя» (1998), «Октябрь» (2002), премией Союза писателей Москвы «Венец» (2003), памятным знаком венгерского Министерства культуры «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Procultura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Hungaria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» (2005), премией «Триумф» (2009) и «Большая книга» (2012). Заслуженный работник культуры Российской Федерации. </w:t>
      </w:r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Печатается в российских журналах, альманахах, газетах «Знамя», «Новый мир», «Волга», «Весть», «Зеркала», «Вестник новой литературы», «Вестник Европы», «Огонёк», «Согласие», «Дружба народов», «Континент», «Октябрь» и др.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М.И.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Арбатова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прозаик, драматург, телеведущая, публицист.</w:t>
      </w:r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Член Союза писателей Москвы и Союза театральных деятелей России. Лауреат премии газеты «Литературные новости» за лучшее произведение в прозе 1993 г. Обладательница Золотой медали Кембриджского библиографического центра «За вклад в культуру ХХ века»– 1991 года в номинации драматургия. Лауреат Боннского театрального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биеннале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1996 г. Лауреат конкурса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радиодраматургии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«Приз Европы» 1998 года. Награждена Национальной премией «Талант и призвание», Национальной литературной премией «Золотое перо Руси», Почётным знаком имени С.И. Вавилова за активное участие в научно-просветительском движении и др.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Н.Н.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Садур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– российский драматург, прозаик и сценарист. Член Союза писателей СССР. Лауреат премии журнала «Знамя», ряда других отечественных и международных литературных премий. Книги Н. 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Садур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издаются в Финляндии, Англии, Германии, Словакии, Японии и др. странах.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Н.В. Коляда – драматург, прозаик. Автор 93 пьес. 38 пьес поставлено в разное время в театрах России, ближнего и дальнего зарубежья. В собственном театре как режиссёр поставил 20 спектаклей, из которых два получили премию губернатора Свердловской области. </w:t>
      </w:r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Пьесы Коляды переведены на немецкий (15 пьес), английский, французский, итальянский, испанский, шведский, финский, болгарский, латышский, греческий, 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словенский, сербский, турецкий, украинский, белорусский, венгерский, литовский и многие другие языки, поставлены на сценах театров Англии, Швеции, Германии, США, Италии, Франции, Финляндии, Канады, Австралии, Югославии, Словении, Македонии, Латвии, Литвы и во многих других странах.</w:t>
      </w:r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Лауреат многих литературных премий.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Раздел IV. Порядок проведения конкурса и условия участия в Премии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3.1. Произведения соискателей рассматриваются на конкурсной основе. Список кандидатов на участие в Премии формируется из работ, получивших высокую оценку жюри. Отзывы членов жюри не высылаются и не публикуются.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3.2. Длинный список участников Премии публикуется на сайте «Менестреля» 1 августа 2019 г. Короткий список участников публикуется на сайте «Менестреля» 1 сентября 2019 г. Имена победителей будут объявлены 1 октября 2019 г. О дате вручения премии победителям будет объявлено отдельно.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Раздел V. Итоги Премии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5.1. Премия способствует продвижению наиболее значимых работ молодых литераторов. Для этой цели: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 xml:space="preserve">– </w:t>
      </w:r>
      <w:proofErr w:type="gram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Проводится отбор лучших работ, которые рекомендуются в литературные журналы и альманахи, в частности, в журнал «Менестрель», альманах «Тарские ворота», журнал «</w:t>
      </w:r>
      <w:proofErr w:type="spellStart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Иртыш-Омь</w:t>
      </w:r>
      <w:proofErr w:type="spell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» и др.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– Авторам лучших прозаической и поэтической рукописей присуждается Литературная премия им. И.Ф. Анненского в размере 75 тыс. руб. Премия может быть разделена между двумя лауреатами либо не присуждена никому.</w:t>
      </w:r>
      <w:proofErr w:type="gramEnd"/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– Оргкомитет Премии проводит презентации книг и сборников участников Премии, творческие встречи молодых писателей с читателями.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5.3. Результаты работы Премии публикуются в СМИ. </w:t>
      </w:r>
      <w:r w:rsidR="009B17E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Приложение 1.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АНКЕТА СОИСКАТЕЛЯ ПРЕМИИ ИМ. И.Ф.АННЕНСКОГО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1. ФИО участника.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2. Дата и место рождения.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3. Образование.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4. Почтовый адрес.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5. Контактный телефон.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6. Электронный адрес.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7. Перечень основных публикаций.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8. Выпущенные книги.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9. Членство в творческих союзах и объединениях. </w:t>
      </w:r>
      <w:r w:rsidRPr="00694FE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br/>
        <w:t>10. Творческая деятельность (участие в выставках, фестивалях, конкурсах, имеющиеся призы и премии).</w:t>
      </w:r>
    </w:p>
    <w:p w:rsidR="00FC63C8" w:rsidRDefault="00694FEF" w:rsidP="009B17EA">
      <w:hyperlink r:id="rId5" w:tooltip="Нравится" w:history="1">
        <w:r w:rsidRPr="00694FEF">
          <w:rPr>
            <w:rFonts w:ascii="Arial" w:eastAsia="Times New Roman" w:hAnsi="Arial" w:cs="Arial"/>
            <w:color w:val="2A5885"/>
            <w:sz w:val="14"/>
            <w:szCs w:val="14"/>
            <w:u w:val="single"/>
            <w:lang w:val="ru-RU" w:eastAsia="ru-RU" w:bidi="ar-SA"/>
          </w:rPr>
          <w:br/>
        </w:r>
      </w:hyperlink>
    </w:p>
    <w:sectPr w:rsidR="00FC63C8" w:rsidSect="00FC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FEF"/>
    <w:rsid w:val="002416E9"/>
    <w:rsid w:val="002942ED"/>
    <w:rsid w:val="003608C4"/>
    <w:rsid w:val="003C0865"/>
    <w:rsid w:val="00473FA4"/>
    <w:rsid w:val="004D5C29"/>
    <w:rsid w:val="00694FEF"/>
    <w:rsid w:val="00712DD9"/>
    <w:rsid w:val="007E02F5"/>
    <w:rsid w:val="00937FDA"/>
    <w:rsid w:val="009B17EA"/>
    <w:rsid w:val="00B17629"/>
    <w:rsid w:val="00B575C9"/>
    <w:rsid w:val="00C3717B"/>
    <w:rsid w:val="00FC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C9"/>
  </w:style>
  <w:style w:type="paragraph" w:styleId="1">
    <w:name w:val="heading 1"/>
    <w:basedOn w:val="a"/>
    <w:next w:val="a"/>
    <w:link w:val="10"/>
    <w:uiPriority w:val="9"/>
    <w:qFormat/>
    <w:rsid w:val="00B575C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5C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75C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75C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5C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75C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75C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75C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75C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5C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B575C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4">
    <w:name w:val="Strong"/>
    <w:uiPriority w:val="22"/>
    <w:qFormat/>
    <w:rsid w:val="00B575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575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75C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575C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575C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575C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575C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75C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B575C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575C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575C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575C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B575C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575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75C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575C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575C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575C9"/>
    <w:rPr>
      <w:b/>
      <w:bCs/>
      <w:i/>
      <w:iCs/>
    </w:rPr>
  </w:style>
  <w:style w:type="character" w:styleId="ad">
    <w:name w:val="Subtle Emphasis"/>
    <w:uiPriority w:val="19"/>
    <w:qFormat/>
    <w:rsid w:val="00B575C9"/>
    <w:rPr>
      <w:i/>
      <w:iCs/>
    </w:rPr>
  </w:style>
  <w:style w:type="character" w:styleId="ae">
    <w:name w:val="Intense Emphasis"/>
    <w:uiPriority w:val="21"/>
    <w:qFormat/>
    <w:rsid w:val="00B575C9"/>
    <w:rPr>
      <w:b/>
      <w:bCs/>
    </w:rPr>
  </w:style>
  <w:style w:type="character" w:styleId="af">
    <w:name w:val="Subtle Reference"/>
    <w:uiPriority w:val="31"/>
    <w:qFormat/>
    <w:rsid w:val="00B575C9"/>
    <w:rPr>
      <w:smallCaps/>
    </w:rPr>
  </w:style>
  <w:style w:type="character" w:styleId="af0">
    <w:name w:val="Intense Reference"/>
    <w:uiPriority w:val="32"/>
    <w:qFormat/>
    <w:rsid w:val="00B575C9"/>
    <w:rPr>
      <w:smallCaps/>
      <w:spacing w:val="5"/>
      <w:u w:val="single"/>
    </w:rPr>
  </w:style>
  <w:style w:type="character" w:styleId="af1">
    <w:name w:val="Book Title"/>
    <w:uiPriority w:val="33"/>
    <w:qFormat/>
    <w:rsid w:val="00B575C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575C9"/>
    <w:pPr>
      <w:outlineLvl w:val="9"/>
    </w:pPr>
  </w:style>
  <w:style w:type="character" w:customStyle="1" w:styleId="apple-converted-space">
    <w:name w:val="apple-converted-space"/>
    <w:basedOn w:val="a0"/>
    <w:rsid w:val="00694FEF"/>
  </w:style>
  <w:style w:type="character" w:styleId="af3">
    <w:name w:val="Hyperlink"/>
    <w:basedOn w:val="a0"/>
    <w:uiPriority w:val="99"/>
    <w:semiHidden/>
    <w:unhideWhenUsed/>
    <w:rsid w:val="00694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77738361" TargetMode="External"/><Relationship Id="rId4" Type="http://schemas.openxmlformats.org/officeDocument/2006/relationships/hyperlink" Target="mailto:kozyrevbos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2019-03-01T05:06:00Z</dcterms:created>
  <dcterms:modified xsi:type="dcterms:W3CDTF">2019-03-01T05:08:00Z</dcterms:modified>
</cp:coreProperties>
</file>